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color w:val="000000"/>
          <w:vertAlign w:val="baseline"/>
        </w:rPr>
      </w:pPr>
      <w:r w:rsidDel="00000000" w:rsidR="00000000" w:rsidRPr="00000000">
        <w:rPr>
          <w:rtl w:val="0"/>
        </w:rPr>
      </w:r>
    </w:p>
    <w:p w:rsidR="00000000" w:rsidDel="00000000" w:rsidP="00000000" w:rsidRDefault="00000000" w:rsidRPr="00000000" w14:paraId="00000003">
      <w:pPr>
        <w:contextualSpacing w:val="0"/>
        <w:rPr>
          <w:color w:val="000000"/>
          <w:vertAlign w:val="baseline"/>
        </w:rPr>
      </w:pPr>
      <w:r w:rsidDel="00000000" w:rsidR="00000000" w:rsidRPr="00000000">
        <w:rPr>
          <w:rtl w:val="0"/>
        </w:rPr>
      </w:r>
    </w:p>
    <w:p w:rsidR="00000000" w:rsidDel="00000000" w:rsidP="00000000" w:rsidRDefault="00000000" w:rsidRPr="00000000" w14:paraId="00000004">
      <w:pPr>
        <w:contextualSpacing w:val="0"/>
        <w:jc w:val="center"/>
        <w:rPr>
          <w:color w:val="000000"/>
          <w:vertAlign w:val="baseline"/>
        </w:rPr>
      </w:pPr>
      <w:r w:rsidDel="00000000" w:rsidR="00000000" w:rsidRPr="00000000">
        <w:rPr>
          <w:color w:val="000000"/>
          <w:vertAlign w:val="baseline"/>
          <w:rtl w:val="0"/>
        </w:rPr>
        <w:t xml:space="preserve">The Education System in Urban Areas</w:t>
      </w:r>
    </w:p>
    <w:p w:rsidR="00000000" w:rsidDel="00000000" w:rsidP="00000000" w:rsidRDefault="00000000" w:rsidRPr="00000000" w14:paraId="00000005">
      <w:pPr>
        <w:contextualSpacing w:val="0"/>
        <w:jc w:val="center"/>
        <w:rPr>
          <w:color w:val="000000"/>
          <w:vertAlign w:val="baseline"/>
        </w:rPr>
      </w:pPr>
      <w:r w:rsidDel="00000000" w:rsidR="00000000" w:rsidRPr="00000000">
        <w:rPr>
          <w:rtl w:val="0"/>
        </w:rPr>
        <w:t xml:space="preserve">Jasmine Calloway-Belisle</w:t>
      </w:r>
      <w:r w:rsidDel="00000000" w:rsidR="00000000" w:rsidRPr="00000000">
        <w:rPr>
          <w:rtl w:val="0"/>
        </w:rPr>
      </w:r>
    </w:p>
    <w:p w:rsidR="00000000" w:rsidDel="00000000" w:rsidP="00000000" w:rsidRDefault="00000000" w:rsidRPr="00000000" w14:paraId="00000006">
      <w:pPr>
        <w:contextualSpacing w:val="0"/>
        <w:jc w:val="center"/>
        <w:rPr/>
      </w:pPr>
      <w:r w:rsidDel="00000000" w:rsidR="00000000" w:rsidRPr="00000000">
        <w:rPr>
          <w:rtl w:val="0"/>
        </w:rPr>
        <w:t xml:space="preserve">Texas Southern University</w:t>
      </w:r>
    </w:p>
    <w:p w:rsidR="00000000" w:rsidDel="00000000" w:rsidP="00000000" w:rsidRDefault="00000000" w:rsidRPr="00000000" w14:paraId="00000007">
      <w:pPr>
        <w:contextualSpacing w:val="0"/>
        <w:jc w:val="center"/>
        <w:rPr/>
      </w:pPr>
      <w:r w:rsidDel="00000000" w:rsidR="00000000" w:rsidRPr="00000000">
        <w:rPr>
          <w:rtl w:val="0"/>
        </w:rPr>
        <w:t xml:space="preserve">September 30,2018</w:t>
      </w:r>
    </w:p>
    <w:p w:rsidR="00000000" w:rsidDel="00000000" w:rsidP="00000000" w:rsidRDefault="00000000" w:rsidRPr="00000000" w14:paraId="00000008">
      <w:pPr>
        <w:contextualSpacing w:val="0"/>
        <w:jc w:val="center"/>
        <w:rPr/>
      </w:pPr>
      <w:r w:rsidDel="00000000" w:rsidR="00000000" w:rsidRPr="00000000">
        <w:rPr>
          <w:rtl w:val="0"/>
        </w:rPr>
        <w:t xml:space="preserve">Cs 116-05</w:t>
      </w:r>
    </w:p>
    <w:p w:rsidR="00000000" w:rsidDel="00000000" w:rsidP="00000000" w:rsidRDefault="00000000" w:rsidRPr="00000000" w14:paraId="00000009">
      <w:pPr>
        <w:contextualSpacing w:val="0"/>
        <w:jc w:val="center"/>
        <w:rPr/>
      </w:pPr>
      <w:r w:rsidDel="00000000" w:rsidR="00000000" w:rsidRPr="00000000">
        <w:rPr>
          <w:rtl w:val="0"/>
        </w:rPr>
        <w:t xml:space="preserve">Family And Child Development Major </w:t>
      </w:r>
    </w:p>
    <w:p w:rsidR="00000000" w:rsidDel="00000000" w:rsidP="00000000" w:rsidRDefault="00000000" w:rsidRPr="00000000" w14:paraId="0000000A">
      <w:pPr>
        <w:contextualSpacing w:val="0"/>
        <w:jc w:val="center"/>
        <w:rPr>
          <w:color w:val="000000"/>
          <w:vertAlign w:val="baseline"/>
        </w:rPr>
      </w:pPr>
      <w:r w:rsidDel="00000000" w:rsidR="00000000" w:rsidRPr="00000000">
        <w:rPr>
          <w:rtl w:val="0"/>
        </w:rPr>
      </w:r>
    </w:p>
    <w:p w:rsidR="00000000" w:rsidDel="00000000" w:rsidP="00000000" w:rsidRDefault="00000000" w:rsidRPr="00000000" w14:paraId="0000000B">
      <w:pPr>
        <w:contextualSpacing w:val="0"/>
        <w:jc w:val="center"/>
        <w:rPr>
          <w:color w:val="000000"/>
          <w:vertAlign w:val="baseline"/>
        </w:rPr>
      </w:pPr>
      <w:r w:rsidDel="00000000" w:rsidR="00000000" w:rsidRPr="00000000">
        <w:rPr>
          <w:rtl w:val="0"/>
        </w:rPr>
      </w:r>
    </w:p>
    <w:p w:rsidR="00000000" w:rsidDel="00000000" w:rsidP="00000000" w:rsidRDefault="00000000" w:rsidRPr="00000000" w14:paraId="0000000C">
      <w:pPr>
        <w:contextualSpacing w:val="0"/>
        <w:jc w:val="center"/>
        <w:rPr>
          <w:color w:val="000000"/>
          <w:vertAlign w:val="baseline"/>
        </w:rPr>
      </w:pPr>
      <w:r w:rsidDel="00000000" w:rsidR="00000000" w:rsidRPr="00000000">
        <w:rPr>
          <w:rtl w:val="0"/>
        </w:rPr>
      </w:r>
    </w:p>
    <w:p w:rsidR="00000000" w:rsidDel="00000000" w:rsidP="00000000" w:rsidRDefault="00000000" w:rsidRPr="00000000" w14:paraId="0000000D">
      <w:pPr>
        <w:contextualSpacing w:val="0"/>
        <w:jc w:val="center"/>
        <w:rPr>
          <w:color w:val="000000"/>
          <w:vertAlign w:val="baseline"/>
        </w:rPr>
      </w:pPr>
      <w:r w:rsidDel="00000000" w:rsidR="00000000" w:rsidRPr="00000000">
        <w:rPr>
          <w:rtl w:val="0"/>
        </w:rPr>
      </w:r>
    </w:p>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contextualSpacing w:val="0"/>
        <w:rPr/>
      </w:pPr>
      <w:r w:rsidDel="00000000" w:rsidR="00000000" w:rsidRPr="00000000">
        <w:rPr>
          <w:rtl w:val="0"/>
        </w:rPr>
      </w:r>
    </w:p>
    <w:p w:rsidR="00000000" w:rsidDel="00000000" w:rsidP="00000000" w:rsidRDefault="00000000" w:rsidRPr="00000000" w14:paraId="00000015">
      <w:pPr>
        <w:contextualSpacing w:val="0"/>
        <w:rPr/>
      </w:pPr>
      <w:r w:rsidDel="00000000" w:rsidR="00000000" w:rsidRPr="00000000">
        <w:rPr>
          <w:rtl w:val="0"/>
        </w:rPr>
      </w:r>
    </w:p>
    <w:p w:rsidR="00000000" w:rsidDel="00000000" w:rsidP="00000000" w:rsidRDefault="00000000" w:rsidRPr="00000000" w14:paraId="00000016">
      <w:pPr>
        <w:contextualSpacing w:val="0"/>
        <w:rPr/>
      </w:pPr>
      <w:r w:rsidDel="00000000" w:rsidR="00000000" w:rsidRPr="00000000">
        <w:rPr>
          <w:rtl w:val="0"/>
        </w:rPr>
      </w:r>
    </w:p>
    <w:p w:rsidR="00000000" w:rsidDel="00000000" w:rsidP="00000000" w:rsidRDefault="00000000" w:rsidRPr="00000000" w14:paraId="00000017">
      <w:pPr>
        <w:contextualSpacing w:val="0"/>
        <w:rPr/>
      </w:pPr>
      <w:r w:rsidDel="00000000" w:rsidR="00000000" w:rsidRPr="00000000">
        <w:rPr>
          <w:rtl w:val="0"/>
        </w:rPr>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r>
    </w:p>
    <w:p w:rsidR="00000000" w:rsidDel="00000000" w:rsidP="00000000" w:rsidRDefault="00000000" w:rsidRPr="00000000" w14:paraId="0000001A">
      <w:pPr>
        <w:contextualSpacing w:val="0"/>
        <w:rPr>
          <w:color w:val="000000"/>
          <w:vertAlign w:val="baseline"/>
        </w:rPr>
      </w:pPr>
      <w:r w:rsidDel="00000000" w:rsidR="00000000" w:rsidRPr="00000000">
        <w:rPr>
          <w:rtl w:val="0"/>
        </w:rPr>
      </w:r>
    </w:p>
    <w:p w:rsidR="00000000" w:rsidDel="00000000" w:rsidP="00000000" w:rsidRDefault="00000000" w:rsidRPr="00000000" w14:paraId="0000001B">
      <w:pPr>
        <w:contextualSpacing w:val="0"/>
        <w:jc w:val="center"/>
        <w:rPr>
          <w:b w:val="0"/>
          <w:color w:val="000000"/>
          <w:vertAlign w:val="baseline"/>
        </w:rPr>
      </w:pPr>
      <w:r w:rsidDel="00000000" w:rsidR="00000000" w:rsidRPr="00000000">
        <w:rPr>
          <w:color w:val="000000"/>
          <w:vertAlign w:val="baseline"/>
          <w:rtl w:val="0"/>
        </w:rPr>
        <w:t xml:space="preserve">The Education System in Urban Areas</w:t>
      </w:r>
      <w:r w:rsidDel="00000000" w:rsidR="00000000" w:rsidRPr="00000000">
        <w:rPr>
          <w:b w:val="1"/>
          <w:color w:val="000000"/>
          <w:vertAlign w:val="baseline"/>
          <w:rtl w:val="0"/>
        </w:rPr>
        <w:t xml:space="preserve"> </w:t>
      </w:r>
      <w:r w:rsidDel="00000000" w:rsidR="00000000" w:rsidRPr="00000000">
        <w:rPr>
          <w:rtl w:val="0"/>
        </w:rPr>
      </w:r>
    </w:p>
    <w:p w:rsidR="00000000" w:rsidDel="00000000" w:rsidP="00000000" w:rsidRDefault="00000000" w:rsidRPr="00000000" w14:paraId="0000001C">
      <w:pPr>
        <w:contextualSpacing w:val="0"/>
        <w:jc w:val="center"/>
        <w:rPr>
          <w:b w:val="0"/>
          <w:color w:val="000000"/>
          <w:vertAlign w:val="baseline"/>
        </w:rPr>
      </w:pPr>
      <w:r w:rsidDel="00000000" w:rsidR="00000000" w:rsidRPr="00000000">
        <w:rPr>
          <w:b w:val="1"/>
          <w:color w:val="000000"/>
          <w:vertAlign w:val="baseline"/>
          <w:rtl w:val="0"/>
        </w:rPr>
        <w:t xml:space="preserve">Abstract</w:t>
      </w:r>
      <w:r w:rsidDel="00000000" w:rsidR="00000000" w:rsidRPr="00000000">
        <w:rPr>
          <w:rtl w:val="0"/>
        </w:rPr>
      </w:r>
    </w:p>
    <w:p w:rsidR="00000000" w:rsidDel="00000000" w:rsidP="00000000" w:rsidRDefault="00000000" w:rsidRPr="00000000" w14:paraId="0000001D">
      <w:pPr>
        <w:ind w:firstLine="720"/>
        <w:contextualSpacing w:val="0"/>
        <w:rPr>
          <w:color w:val="000000"/>
          <w:highlight w:val="white"/>
          <w:vertAlign w:val="baseline"/>
        </w:rPr>
      </w:pPr>
      <w:r w:rsidDel="00000000" w:rsidR="00000000" w:rsidRPr="00000000">
        <w:rPr>
          <w:color w:val="000000"/>
          <w:highlight w:val="white"/>
          <w:vertAlign w:val="baseline"/>
          <w:rtl w:val="0"/>
        </w:rPr>
        <w:t xml:space="preserve">Nowadays, education is an essential aspect in the society and schools have continued to assume the critical role of ensuring progressive learning. On the other hand, the learning environments determine the level of success in providing successful passage of knowledge to students. In urban schooling, excellent performance is achieved awed to the various advantages that include better quality education, availability of resources, family socio-backgrounds amid other factors. It’s noted that unlike in rural setting, students in urban areas can benefit from the wealth of social and cultural opportunities that big towns and cities offer.</w:t>
      </w:r>
    </w:p>
    <w:p w:rsidR="00000000" w:rsidDel="00000000" w:rsidP="00000000" w:rsidRDefault="00000000" w:rsidRPr="00000000" w14:paraId="0000001E">
      <w:pPr>
        <w:ind w:firstLine="720"/>
        <w:contextualSpacing w:val="0"/>
        <w:rPr>
          <w:b w:val="0"/>
          <w:color w:val="000000"/>
          <w:highlight w:val="white"/>
          <w:vertAlign w:val="baseline"/>
        </w:rPr>
      </w:pPr>
      <w:r w:rsidDel="00000000" w:rsidR="00000000" w:rsidRPr="00000000">
        <w:rPr>
          <w:b w:val="0"/>
          <w:color w:val="000000"/>
          <w:highlight w:val="white"/>
          <w:vertAlign w:val="baseline"/>
          <w:rtl w:val="0"/>
        </w:rPr>
        <w:t xml:space="preserve">The socio-economic status is not the only factor that is associated with the better performance among learners who attend school in cities. Certain characteristics contribute enormously towards the positive performance of the deemed elite schools. Urban schools are usually larger, enjoy higher student-teacher ratios and have superior obligation for resource allocation. Additionally, these schools rarely experience the shortage staff and have more competent instructors than most educational institutions in rural areas.</w:t>
      </w:r>
    </w:p>
    <w:p w:rsidR="00000000" w:rsidDel="00000000" w:rsidP="00000000" w:rsidRDefault="00000000" w:rsidRPr="00000000" w14:paraId="0000001F">
      <w:pPr>
        <w:contextualSpacing w:val="0"/>
        <w:rPr>
          <w:color w:val="000000"/>
          <w:highlight w:val="white"/>
          <w:vertAlign w:val="baseline"/>
        </w:rPr>
      </w:pPr>
      <w:r w:rsidDel="00000000" w:rsidR="00000000" w:rsidRPr="00000000">
        <w:rPr>
          <w:b w:val="0"/>
          <w:color w:val="000000"/>
          <w:highlight w:val="white"/>
          <w:vertAlign w:val="baseline"/>
          <w:rtl w:val="0"/>
        </w:rPr>
        <w:tab/>
        <w:t xml:space="preserve">However, a few predicaments are experienced in the urban education systems. The learners are at risk of getting into unhealthy urban lifestyles such as addiction to drugs, facing endemic racism as well as getting involved in gangs and crime. The government in collaboration with all the stakeholders is working hard to combat these negative trajectories and trends in the urban education system. Indeed conceptualizing the education system in the urban context, requires a critical evaluation of spanning dimensions of issues such as poverty to cultural practices of communities, children and families residing in metropolitan regions.</w:t>
      </w:r>
      <w:r w:rsidDel="00000000" w:rsidR="00000000" w:rsidRPr="00000000">
        <w:rPr>
          <w:rtl w:val="0"/>
        </w:rPr>
      </w:r>
    </w:p>
    <w:p w:rsidR="00000000" w:rsidDel="00000000" w:rsidP="00000000" w:rsidRDefault="00000000" w:rsidRPr="00000000" w14:paraId="00000020">
      <w:pPr>
        <w:ind w:firstLine="720"/>
        <w:contextualSpacing w:val="0"/>
        <w:jc w:val="center"/>
        <w:rPr>
          <w:color w:val="000000"/>
          <w:highlight w:val="white"/>
          <w:vertAlign w:val="baseline"/>
        </w:rPr>
      </w:pPr>
      <w:r w:rsidDel="00000000" w:rsidR="00000000" w:rsidRPr="00000000">
        <w:br w:type="page"/>
      </w:r>
      <w:r w:rsidDel="00000000" w:rsidR="00000000" w:rsidRPr="00000000">
        <w:rPr>
          <w:b w:val="1"/>
          <w:color w:val="000000"/>
          <w:vertAlign w:val="baseline"/>
          <w:rtl w:val="0"/>
        </w:rPr>
        <w:t xml:space="preserve">References</w:t>
      </w:r>
      <w:r w:rsidDel="00000000" w:rsidR="00000000" w:rsidRPr="00000000">
        <w:rPr>
          <w:rtl w:val="0"/>
        </w:rPr>
      </w:r>
    </w:p>
    <w:p w:rsidR="00000000" w:rsidDel="00000000" w:rsidP="00000000" w:rsidRDefault="00000000" w:rsidRPr="00000000" w14:paraId="00000021">
      <w:pPr>
        <w:ind w:left="720" w:hanging="720"/>
        <w:contextualSpacing w:val="0"/>
        <w:rPr>
          <w:color w:val="000000"/>
          <w:vertAlign w:val="baseline"/>
        </w:rPr>
      </w:pPr>
      <w:hyperlink r:id="rId6">
        <w:r w:rsidDel="00000000" w:rsidR="00000000" w:rsidRPr="00000000">
          <w:rPr>
            <w:color w:val="1155cc"/>
            <w:u w:val="single"/>
            <w:vertAlign w:val="baseline"/>
            <w:rtl w:val="0"/>
          </w:rPr>
          <w:t xml:space="preserve">Ainscow, M., Booth, T., &amp; Dyson, A. (2006). Improving schools, developing inclusion. Routledge.</w:t>
        </w:r>
      </w:hyperlink>
      <w:r w:rsidDel="00000000" w:rsidR="00000000" w:rsidRPr="00000000">
        <w:rPr>
          <w:rtl w:val="0"/>
        </w:rPr>
      </w:r>
    </w:p>
    <w:p w:rsidR="00000000" w:rsidDel="00000000" w:rsidP="00000000" w:rsidRDefault="00000000" w:rsidRPr="00000000" w14:paraId="00000022">
      <w:pPr>
        <w:ind w:left="720" w:hanging="720"/>
        <w:contextualSpacing w:val="0"/>
        <w:rPr>
          <w:color w:val="000000"/>
          <w:vertAlign w:val="baseline"/>
        </w:rPr>
      </w:pPr>
      <w:r w:rsidDel="00000000" w:rsidR="00000000" w:rsidRPr="00000000">
        <w:rPr>
          <w:color w:val="000000"/>
          <w:vertAlign w:val="baseline"/>
          <w:rtl w:val="0"/>
        </w:rPr>
        <w:t xml:space="preserve">Anyon, J. (2014). Radical possibilities: Public policy, urban education, and a new social movement. Routledge.</w:t>
      </w:r>
    </w:p>
    <w:p w:rsidR="00000000" w:rsidDel="00000000" w:rsidP="00000000" w:rsidRDefault="00000000" w:rsidRPr="00000000" w14:paraId="00000023">
      <w:pPr>
        <w:ind w:left="720" w:hanging="720"/>
        <w:contextualSpacing w:val="0"/>
        <w:rPr>
          <w:color w:val="000000"/>
          <w:vertAlign w:val="baseline"/>
        </w:rPr>
      </w:pPr>
      <w:r w:rsidDel="00000000" w:rsidR="00000000" w:rsidRPr="00000000">
        <w:rPr>
          <w:color w:val="000000"/>
          <w:vertAlign w:val="baseline"/>
          <w:rtl w:val="0"/>
        </w:rPr>
        <w:t xml:space="preserve">Bailey, T., Jeong, D. W., &amp; Cho, S. W. (2010). Referral, enrollment, and completion in developmental education sequences in community colleges. Economics of Education Review, 29(2), 255-270.</w:t>
      </w:r>
    </w:p>
    <w:p w:rsidR="00000000" w:rsidDel="00000000" w:rsidP="00000000" w:rsidRDefault="00000000" w:rsidRPr="00000000" w14:paraId="00000024">
      <w:pPr>
        <w:ind w:left="720" w:hanging="720"/>
        <w:contextualSpacing w:val="0"/>
        <w:rPr>
          <w:color w:val="000000"/>
          <w:vertAlign w:val="baseline"/>
        </w:rPr>
      </w:pPr>
      <w:r w:rsidDel="00000000" w:rsidR="00000000" w:rsidRPr="00000000">
        <w:rPr>
          <w:color w:val="000000"/>
          <w:vertAlign w:val="baseline"/>
          <w:rtl w:val="0"/>
        </w:rPr>
        <w:t xml:space="preserve">Balfanz, R., Herzog, L., &amp; Mac Iver, D. J. (2007). Preventing student disengagement and keeping students on the graduation path in urban middle-grades schools: Early identification and effective interventions. Educational Psychologist, 42(4), 223-235.</w:t>
      </w:r>
    </w:p>
    <w:p w:rsidR="00000000" w:rsidDel="00000000" w:rsidP="00000000" w:rsidRDefault="00000000" w:rsidRPr="00000000" w14:paraId="00000025">
      <w:pPr>
        <w:ind w:left="720" w:hanging="720"/>
        <w:contextualSpacing w:val="0"/>
        <w:rPr>
          <w:color w:val="000000"/>
          <w:vertAlign w:val="baseline"/>
        </w:rPr>
      </w:pPr>
      <w:r w:rsidDel="00000000" w:rsidR="00000000" w:rsidRPr="00000000">
        <w:rPr>
          <w:color w:val="000000"/>
          <w:vertAlign w:val="baseline"/>
          <w:rtl w:val="0"/>
        </w:rPr>
        <w:t xml:space="preserve">Barton, A. C., Drake, C., Perez, J. G., St. Louis, K., &amp; George, M. (2004). Ecologies of parental engagement in urban education. Educational Researcher, 33(4), 3-12.</w:t>
      </w:r>
    </w:p>
    <w:p w:rsidR="00000000" w:rsidDel="00000000" w:rsidP="00000000" w:rsidRDefault="00000000" w:rsidRPr="00000000" w14:paraId="00000026">
      <w:pPr>
        <w:ind w:left="720" w:hanging="720"/>
        <w:contextualSpacing w:val="0"/>
        <w:rPr>
          <w:color w:val="000000"/>
          <w:vertAlign w:val="baseline"/>
        </w:rPr>
      </w:pPr>
      <w:r w:rsidDel="00000000" w:rsidR="00000000" w:rsidRPr="00000000">
        <w:rPr>
          <w:color w:val="000000"/>
          <w:vertAlign w:val="baseline"/>
          <w:rtl w:val="0"/>
        </w:rPr>
        <w:t xml:space="preserve">Belfiore, P. J., Auld, R., &amp; Lee, D. L. (2005). The Disconnect of Poor‐Urban Education: Equal Access and a Pedagogy of Risk Taking. Psychology in the Schools, 42(8), 855-863.</w:t>
      </w:r>
    </w:p>
    <w:p w:rsidR="00000000" w:rsidDel="00000000" w:rsidP="00000000" w:rsidRDefault="00000000" w:rsidRPr="00000000" w14:paraId="00000027">
      <w:pPr>
        <w:ind w:left="720" w:hanging="720"/>
        <w:contextualSpacing w:val="0"/>
        <w:rPr>
          <w:color w:val="000000"/>
          <w:vertAlign w:val="baseline"/>
        </w:rPr>
      </w:pPr>
      <w:r w:rsidDel="00000000" w:rsidR="00000000" w:rsidRPr="00000000">
        <w:rPr>
          <w:color w:val="000000"/>
          <w:vertAlign w:val="baseline"/>
          <w:rtl w:val="0"/>
        </w:rPr>
        <w:t xml:space="preserve">Boutte, G. S. (2012). Urban schools: Challenges and possibilities for early childhood and elementary education. Urban Education, 47(2), 515-550.</w:t>
      </w:r>
    </w:p>
    <w:p w:rsidR="00000000" w:rsidDel="00000000" w:rsidP="00000000" w:rsidRDefault="00000000" w:rsidRPr="00000000" w14:paraId="00000028">
      <w:pPr>
        <w:ind w:left="720" w:hanging="720"/>
        <w:contextualSpacing w:val="0"/>
        <w:rPr>
          <w:color w:val="000000"/>
          <w:vertAlign w:val="baseline"/>
        </w:rPr>
      </w:pPr>
      <w:r w:rsidDel="00000000" w:rsidR="00000000" w:rsidRPr="00000000">
        <w:rPr>
          <w:color w:val="000000"/>
          <w:vertAlign w:val="baseline"/>
          <w:rtl w:val="0"/>
        </w:rPr>
        <w:t xml:space="preserve">Cammarota, J. (2011). From hopelessness to hope: Social justice pedagogy in urban education and youth development. Urban Education, 46(4), 828-844.</w:t>
      </w:r>
    </w:p>
    <w:p w:rsidR="00000000" w:rsidDel="00000000" w:rsidP="00000000" w:rsidRDefault="00000000" w:rsidRPr="00000000" w14:paraId="00000029">
      <w:pPr>
        <w:ind w:left="720" w:hanging="720"/>
        <w:contextualSpacing w:val="0"/>
        <w:rPr>
          <w:color w:val="000000"/>
          <w:vertAlign w:val="baseline"/>
        </w:rPr>
      </w:pPr>
      <w:r w:rsidDel="00000000" w:rsidR="00000000" w:rsidRPr="00000000">
        <w:rPr>
          <w:color w:val="000000"/>
          <w:vertAlign w:val="baseline"/>
          <w:rtl w:val="0"/>
        </w:rPr>
        <w:t xml:space="preserve">Cibulka, J. G., Boyd, W. L., &amp; Boyd, W. L. (Eds.). (2003). A race against time: The crisis in urban schooling. Greenwood Publishing Group.\</w:t>
      </w:r>
    </w:p>
    <w:p w:rsidR="00000000" w:rsidDel="00000000" w:rsidP="00000000" w:rsidRDefault="00000000" w:rsidRPr="00000000" w14:paraId="0000002A">
      <w:pPr>
        <w:ind w:left="720" w:hanging="720"/>
        <w:contextualSpacing w:val="0"/>
        <w:rPr>
          <w:color w:val="000000"/>
          <w:vertAlign w:val="baseline"/>
        </w:rPr>
      </w:pPr>
      <w:r w:rsidDel="00000000" w:rsidR="00000000" w:rsidRPr="00000000">
        <w:rPr>
          <w:color w:val="000000"/>
          <w:vertAlign w:val="baseline"/>
          <w:rtl w:val="0"/>
        </w:rPr>
        <w:t xml:space="preserve">Fantuzzo, J., McWayne, C. M., Perry, M. A., &amp; Childs, S. (2004). Multiple dimensions of family involvement and their relations to behavioral and learning competencies for urban, low-income children. School Psychology Review, 33(4), 467.</w:t>
      </w:r>
    </w:p>
    <w:p w:rsidR="00000000" w:rsidDel="00000000" w:rsidP="00000000" w:rsidRDefault="00000000" w:rsidRPr="00000000" w14:paraId="0000002B">
      <w:pPr>
        <w:ind w:left="720" w:hanging="720"/>
        <w:contextualSpacing w:val="0"/>
        <w:rPr>
          <w:color w:val="000000"/>
          <w:vertAlign w:val="baseline"/>
        </w:rPr>
      </w:pPr>
      <w:r w:rsidDel="00000000" w:rsidR="00000000" w:rsidRPr="00000000">
        <w:rPr>
          <w:color w:val="000000"/>
          <w:vertAlign w:val="baseline"/>
          <w:rtl w:val="0"/>
        </w:rPr>
        <w:t xml:space="preserve">Gosine, K., &amp; Islam, F. (2014). " It's Like We're One Big Family": Marginalized Young People, Community, and the Implications for Urban Schooling. School Community Journal, 24(2), 33-62.</w:t>
      </w:r>
    </w:p>
    <w:p w:rsidR="00000000" w:rsidDel="00000000" w:rsidP="00000000" w:rsidRDefault="00000000" w:rsidRPr="00000000" w14:paraId="0000002C">
      <w:pPr>
        <w:ind w:left="720" w:hanging="720"/>
        <w:contextualSpacing w:val="0"/>
        <w:rPr>
          <w:color w:val="000000"/>
          <w:vertAlign w:val="baseline"/>
        </w:rPr>
      </w:pPr>
      <w:r w:rsidDel="00000000" w:rsidR="00000000" w:rsidRPr="00000000">
        <w:rPr>
          <w:color w:val="000000"/>
          <w:vertAlign w:val="baseline"/>
          <w:rtl w:val="0"/>
        </w:rPr>
        <w:t xml:space="preserve">Green, C. L., Walker, J. M., Hoover-Dempsey, K. V., &amp; Sandler, H. M. (2007). Parents' motivations for involvement in children's education: An empirical test of a theoretical model of parental involvement. Journal of educational psychology, 99(3), 532.</w:t>
      </w:r>
    </w:p>
    <w:p w:rsidR="00000000" w:rsidDel="00000000" w:rsidP="00000000" w:rsidRDefault="00000000" w:rsidRPr="00000000" w14:paraId="0000002D">
      <w:pPr>
        <w:ind w:left="720" w:hanging="720"/>
        <w:contextualSpacing w:val="0"/>
        <w:rPr>
          <w:color w:val="000000"/>
          <w:vertAlign w:val="baseline"/>
        </w:rPr>
      </w:pPr>
      <w:r w:rsidDel="00000000" w:rsidR="00000000" w:rsidRPr="00000000">
        <w:rPr>
          <w:color w:val="000000"/>
          <w:vertAlign w:val="baseline"/>
          <w:rtl w:val="0"/>
        </w:rPr>
        <w:t xml:space="preserve">Griffin, K. W., Botvin, G. J., Scheier, L. M., Diaz, T., &amp; Miller, N. L. (2000). Parenting practices as predictors of substance use, delinquency, and aggression among urban minority youth: moderating effects of family structure and gender. Psychology of addictive behaviors, 14(2), 174.</w:t>
      </w:r>
    </w:p>
    <w:p w:rsidR="00000000" w:rsidDel="00000000" w:rsidP="00000000" w:rsidRDefault="00000000" w:rsidRPr="00000000" w14:paraId="0000002E">
      <w:pPr>
        <w:ind w:left="720" w:hanging="720"/>
        <w:contextualSpacing w:val="0"/>
        <w:rPr>
          <w:color w:val="000000"/>
          <w:vertAlign w:val="baseline"/>
        </w:rPr>
      </w:pPr>
      <w:r w:rsidDel="00000000" w:rsidR="00000000" w:rsidRPr="00000000">
        <w:rPr>
          <w:color w:val="000000"/>
          <w:vertAlign w:val="baseline"/>
          <w:rtl w:val="0"/>
        </w:rPr>
        <w:t xml:space="preserve">Haberman, M. (2004). Urban education: The state of urban schooling at the start of the 21st century. Milwaukee: University of Wisconsin. Retrieved on July, 28, 2005.</w:t>
      </w:r>
    </w:p>
    <w:p w:rsidR="00000000" w:rsidDel="00000000" w:rsidP="00000000" w:rsidRDefault="00000000" w:rsidRPr="00000000" w14:paraId="0000002F">
      <w:pPr>
        <w:ind w:left="720" w:hanging="720"/>
        <w:contextualSpacing w:val="0"/>
        <w:rPr>
          <w:color w:val="000000"/>
          <w:vertAlign w:val="baseline"/>
        </w:rPr>
      </w:pPr>
      <w:r w:rsidDel="00000000" w:rsidR="00000000" w:rsidRPr="00000000">
        <w:rPr>
          <w:color w:val="000000"/>
          <w:vertAlign w:val="baseline"/>
          <w:rtl w:val="0"/>
        </w:rPr>
        <w:t xml:space="preserve">Henig, J. R., Hula, R. C., Orr, M., &amp; Pedescleaux, D. S. (2001). The color of school reform: Race, politics, and the challenge of urban education. Princeton University Press.</w:t>
      </w:r>
    </w:p>
    <w:p w:rsidR="00000000" w:rsidDel="00000000" w:rsidP="00000000" w:rsidRDefault="00000000" w:rsidRPr="00000000" w14:paraId="00000030">
      <w:pPr>
        <w:ind w:left="720" w:hanging="720"/>
        <w:contextualSpacing w:val="0"/>
        <w:rPr>
          <w:color w:val="000000"/>
          <w:vertAlign w:val="baseline"/>
        </w:rPr>
      </w:pPr>
      <w:r w:rsidDel="00000000" w:rsidR="00000000" w:rsidRPr="00000000">
        <w:rPr>
          <w:color w:val="000000"/>
          <w:vertAlign w:val="baseline"/>
          <w:rtl w:val="0"/>
        </w:rPr>
        <w:t xml:space="preserve">Howell, W. G., &amp; Peterson, P. E. (2006). The education gap: Vouchers and urban schools. Brookings Institution Press.</w:t>
      </w:r>
    </w:p>
    <w:p w:rsidR="00000000" w:rsidDel="00000000" w:rsidP="00000000" w:rsidRDefault="00000000" w:rsidRPr="00000000" w14:paraId="00000031">
      <w:pPr>
        <w:ind w:left="720" w:hanging="720"/>
        <w:contextualSpacing w:val="0"/>
        <w:rPr>
          <w:vertAlign w:val="baseline"/>
        </w:rPr>
      </w:pPr>
      <w:r w:rsidDel="00000000" w:rsidR="00000000" w:rsidRPr="00000000">
        <w:rPr>
          <w:color w:val="000000"/>
          <w:vertAlign w:val="baseline"/>
          <w:rtl w:val="0"/>
        </w:rPr>
        <w:t xml:space="preserve">Hursh, D. (2006). The crisis in urban education: Resisting neoliberal policies and forging democratic possibilities. Educational researcher, 35(4), 19-25.</w:t>
      </w:r>
      <w:r w:rsidDel="00000000" w:rsidR="00000000" w:rsidRPr="00000000">
        <w:rPr>
          <w:vertAlign w:val="baseline"/>
          <w:rtl w:val="0"/>
        </w:rPr>
        <w:t xml:space="preserve"> </w:t>
      </w:r>
    </w:p>
    <w:p w:rsidR="00000000" w:rsidDel="00000000" w:rsidP="00000000" w:rsidRDefault="00000000" w:rsidRPr="00000000" w14:paraId="00000032">
      <w:pPr>
        <w:ind w:left="720" w:hanging="720"/>
        <w:contextualSpacing w:val="0"/>
        <w:rPr>
          <w:color w:val="000000"/>
          <w:vertAlign w:val="baseline"/>
        </w:rPr>
      </w:pPr>
      <w:r w:rsidDel="00000000" w:rsidR="00000000" w:rsidRPr="00000000">
        <w:rPr>
          <w:color w:val="000000"/>
          <w:vertAlign w:val="baseline"/>
          <w:rtl w:val="0"/>
        </w:rPr>
        <w:t xml:space="preserve">Jeynes, W. H. (2005). A meta-analysis of the relation of parental involvement to urban elementary school student academic achievement. Urban education, 40(3), 237-269.</w:t>
      </w:r>
    </w:p>
    <w:p w:rsidR="00000000" w:rsidDel="00000000" w:rsidP="00000000" w:rsidRDefault="00000000" w:rsidRPr="00000000" w14:paraId="00000033">
      <w:pPr>
        <w:ind w:left="720" w:hanging="720"/>
        <w:contextualSpacing w:val="0"/>
        <w:rPr>
          <w:color w:val="000000"/>
          <w:vertAlign w:val="baseline"/>
        </w:rPr>
      </w:pPr>
      <w:r w:rsidDel="00000000" w:rsidR="00000000" w:rsidRPr="00000000">
        <w:rPr>
          <w:color w:val="000000"/>
          <w:vertAlign w:val="baseline"/>
          <w:rtl w:val="0"/>
        </w:rPr>
        <w:t xml:space="preserve">Jeynes, W. H. (2007). The relationship between parental involvement and urban secondary school student academic achievement: A meta-analysis. Urban education, 42(1), 82-110.</w:t>
      </w:r>
    </w:p>
    <w:p w:rsidR="00000000" w:rsidDel="00000000" w:rsidP="00000000" w:rsidRDefault="00000000" w:rsidRPr="00000000" w14:paraId="00000034">
      <w:pPr>
        <w:ind w:left="720" w:hanging="720"/>
        <w:contextualSpacing w:val="0"/>
        <w:rPr>
          <w:color w:val="000000"/>
          <w:vertAlign w:val="baseline"/>
        </w:rPr>
      </w:pPr>
      <w:r w:rsidDel="00000000" w:rsidR="00000000" w:rsidRPr="00000000">
        <w:rPr>
          <w:color w:val="000000"/>
          <w:vertAlign w:val="baseline"/>
          <w:rtl w:val="0"/>
        </w:rPr>
        <w:t xml:space="preserve">Lankford, H., Loeb, S., &amp; Wyckoff, J. (2002). Teacher sorting and the plight of urban schools: A descriptive analysis. Educational evaluation and policy analysis, 24(1), 37-62.</w:t>
      </w:r>
    </w:p>
    <w:p w:rsidR="00000000" w:rsidDel="00000000" w:rsidP="00000000" w:rsidRDefault="00000000" w:rsidRPr="00000000" w14:paraId="00000035">
      <w:pPr>
        <w:ind w:left="720" w:hanging="720"/>
        <w:contextualSpacing w:val="0"/>
        <w:rPr>
          <w:vertAlign w:val="baseline"/>
        </w:rPr>
      </w:pPr>
      <w:r w:rsidDel="00000000" w:rsidR="00000000" w:rsidRPr="00000000">
        <w:rPr>
          <w:color w:val="000000"/>
          <w:vertAlign w:val="baseline"/>
          <w:rtl w:val="0"/>
        </w:rPr>
        <w:t xml:space="preserve">Lipman, P. (2004). High stakes education: Inequality, globalization, and urban school reform. Routledge.</w:t>
      </w:r>
      <w:r w:rsidDel="00000000" w:rsidR="00000000" w:rsidRPr="00000000">
        <w:rPr>
          <w:vertAlign w:val="baseline"/>
          <w:rtl w:val="0"/>
        </w:rPr>
        <w:t xml:space="preserve"> </w:t>
      </w:r>
    </w:p>
    <w:p w:rsidR="00000000" w:rsidDel="00000000" w:rsidP="00000000" w:rsidRDefault="00000000" w:rsidRPr="00000000" w14:paraId="00000036">
      <w:pPr>
        <w:ind w:left="720" w:hanging="720"/>
        <w:contextualSpacing w:val="0"/>
        <w:rPr>
          <w:color w:val="000000"/>
          <w:vertAlign w:val="baseline"/>
        </w:rPr>
      </w:pPr>
      <w:r w:rsidDel="00000000" w:rsidR="00000000" w:rsidRPr="00000000">
        <w:rPr>
          <w:color w:val="000000"/>
          <w:vertAlign w:val="baseline"/>
          <w:rtl w:val="0"/>
        </w:rPr>
        <w:t xml:space="preserve">Milner IV, H. R., &amp; Lomotey, K. (Eds.). (2013). Handbook of urban education. Routledge.</w:t>
      </w:r>
    </w:p>
    <w:p w:rsidR="00000000" w:rsidDel="00000000" w:rsidP="00000000" w:rsidRDefault="00000000" w:rsidRPr="00000000" w14:paraId="00000037">
      <w:pPr>
        <w:ind w:left="720" w:hanging="720"/>
        <w:contextualSpacing w:val="0"/>
        <w:rPr>
          <w:color w:val="000000"/>
          <w:vertAlign w:val="baseline"/>
        </w:rPr>
      </w:pPr>
      <w:r w:rsidDel="00000000" w:rsidR="00000000" w:rsidRPr="00000000">
        <w:rPr>
          <w:color w:val="000000"/>
          <w:vertAlign w:val="baseline"/>
          <w:rtl w:val="0"/>
        </w:rPr>
        <w:t xml:space="preserve">Moore III, J. L., &amp; Lewis, C. W. (2012). African American Students in Urban Schools: Critical Issues and Solutions for Achievement. Educational Psychology: Critical Pedagogical Perspectives. Volume 4. Peter Lang New York. 29 Broadway 18th Floor, New York, NY 10006.</w:t>
      </w:r>
    </w:p>
    <w:p w:rsidR="00000000" w:rsidDel="00000000" w:rsidP="00000000" w:rsidRDefault="00000000" w:rsidRPr="00000000" w14:paraId="00000038">
      <w:pPr>
        <w:ind w:left="720" w:hanging="720"/>
        <w:contextualSpacing w:val="0"/>
        <w:rPr>
          <w:color w:val="000000"/>
          <w:vertAlign w:val="baseline"/>
        </w:rPr>
      </w:pPr>
      <w:r w:rsidDel="00000000" w:rsidR="00000000" w:rsidRPr="00000000">
        <w:rPr>
          <w:color w:val="000000"/>
          <w:vertAlign w:val="baseline"/>
          <w:rtl w:val="0"/>
        </w:rPr>
        <w:t xml:space="preserve">Oría, A., Cardini, A., Ball, S., Stamou, E., Kolokitha, M., Vertigan, S., &amp; Flores‐Moreno, C. (2007). Urban education, the middle classes and their dilemmas of school choice. Journal of Education Policy, 22(1), 91-105.</w:t>
      </w:r>
    </w:p>
    <w:p w:rsidR="00000000" w:rsidDel="00000000" w:rsidP="00000000" w:rsidRDefault="00000000" w:rsidRPr="00000000" w14:paraId="00000039">
      <w:pPr>
        <w:ind w:left="720" w:hanging="720"/>
        <w:contextualSpacing w:val="0"/>
        <w:rPr>
          <w:vertAlign w:val="baseline"/>
        </w:rPr>
      </w:pPr>
      <w:r w:rsidDel="00000000" w:rsidR="00000000" w:rsidRPr="00000000">
        <w:rPr>
          <w:color w:val="000000"/>
          <w:vertAlign w:val="baseline"/>
          <w:rtl w:val="0"/>
        </w:rPr>
        <w:t xml:space="preserve">Rong, X. L., &amp; Brown, F. (2002). Immigration and urban education in the new millennium: The diversity and the challenges.</w:t>
      </w:r>
      <w:r w:rsidDel="00000000" w:rsidR="00000000" w:rsidRPr="00000000">
        <w:rPr>
          <w:vertAlign w:val="baseline"/>
          <w:rtl w:val="0"/>
        </w:rPr>
        <w:t xml:space="preserve"> </w:t>
      </w:r>
    </w:p>
    <w:p w:rsidR="00000000" w:rsidDel="00000000" w:rsidP="00000000" w:rsidRDefault="00000000" w:rsidRPr="00000000" w14:paraId="0000003A">
      <w:pPr>
        <w:ind w:left="720" w:hanging="720"/>
        <w:contextualSpacing w:val="0"/>
        <w:rPr>
          <w:vertAlign w:val="baseline"/>
        </w:rPr>
      </w:pPr>
      <w:r w:rsidDel="00000000" w:rsidR="00000000" w:rsidRPr="00000000">
        <w:rPr>
          <w:color w:val="000000"/>
          <w:vertAlign w:val="baseline"/>
          <w:rtl w:val="0"/>
        </w:rPr>
        <w:t xml:space="preserve">Roth, W. M., Tobin, K., Elmesky, R., Carambo, C., McKnight, Y. M., &amp; Beers, J. (2004). Re/making identities in the praxis of urban schooling: A cultural historical perspective. Mind, culture, and activity, 11(1), 48-69.</w:t>
      </w:r>
      <w:r w:rsidDel="00000000" w:rsidR="00000000" w:rsidRPr="00000000">
        <w:rPr>
          <w:vertAlign w:val="baseline"/>
          <w:rtl w:val="0"/>
        </w:rPr>
        <w:t xml:space="preserve"> </w:t>
      </w:r>
    </w:p>
    <w:p w:rsidR="00000000" w:rsidDel="00000000" w:rsidP="00000000" w:rsidRDefault="00000000" w:rsidRPr="00000000" w14:paraId="0000003B">
      <w:pPr>
        <w:ind w:left="720" w:hanging="720"/>
        <w:contextualSpacing w:val="0"/>
        <w:rPr>
          <w:color w:val="000000"/>
          <w:vertAlign w:val="baseline"/>
        </w:rPr>
      </w:pPr>
      <w:r w:rsidDel="00000000" w:rsidR="00000000" w:rsidRPr="00000000">
        <w:rPr>
          <w:color w:val="000000"/>
          <w:vertAlign w:val="baseline"/>
          <w:rtl w:val="0"/>
        </w:rPr>
        <w:t xml:space="preserve">Sheldon, S. B. (2003). Linking school–family–community partnerships in urban elementary schools to student achievement on state tests. The Urban Review, 35(2), 149-165.</w:t>
      </w:r>
    </w:p>
    <w:p w:rsidR="00000000" w:rsidDel="00000000" w:rsidP="00000000" w:rsidRDefault="00000000" w:rsidRPr="00000000" w14:paraId="0000003C">
      <w:pPr>
        <w:ind w:left="720" w:hanging="720"/>
        <w:contextualSpacing w:val="0"/>
        <w:rPr>
          <w:vertAlign w:val="baseline"/>
        </w:rPr>
      </w:pPr>
      <w:r w:rsidDel="00000000" w:rsidR="00000000" w:rsidRPr="00000000">
        <w:rPr>
          <w:color w:val="000000"/>
          <w:vertAlign w:val="baseline"/>
          <w:rtl w:val="0"/>
        </w:rPr>
        <w:t xml:space="preserve">Shevalier, R., &amp; McKenzie, B. A. (2012). Culturally responsive teaching as an ethics-and care-based approach to urban education. Urban Education, 47(6), 1086-1105.</w:t>
      </w:r>
      <w:r w:rsidDel="00000000" w:rsidR="00000000" w:rsidRPr="00000000">
        <w:rPr>
          <w:vertAlign w:val="baseline"/>
          <w:rtl w:val="0"/>
        </w:rPr>
        <w:t xml:space="preserve"> </w:t>
      </w:r>
    </w:p>
    <w:p w:rsidR="00000000" w:rsidDel="00000000" w:rsidP="00000000" w:rsidRDefault="00000000" w:rsidRPr="00000000" w14:paraId="0000003D">
      <w:pPr>
        <w:ind w:left="720" w:hanging="720"/>
        <w:contextualSpacing w:val="0"/>
        <w:rPr>
          <w:color w:val="000000"/>
          <w:vertAlign w:val="baseline"/>
        </w:rPr>
      </w:pPr>
      <w:r w:rsidDel="00000000" w:rsidR="00000000" w:rsidRPr="00000000">
        <w:rPr>
          <w:color w:val="000000"/>
          <w:vertAlign w:val="baseline"/>
          <w:rtl w:val="0"/>
        </w:rPr>
        <w:t xml:space="preserve">Urban, M., Vandenbroeck, M., Van Laere, K., Lazzari, A., &amp; Peeters, J. (2012). Towards competent systems in early childhood education and care. Implications for policy and practice. European Journal of Education, 47(4), 508-526.</w:t>
      </w:r>
    </w:p>
    <w:p w:rsidR="00000000" w:rsidDel="00000000" w:rsidP="00000000" w:rsidRDefault="00000000" w:rsidRPr="00000000" w14:paraId="0000003E">
      <w:pPr>
        <w:ind w:left="720" w:hanging="720"/>
        <w:contextualSpacing w:val="0"/>
        <w:rPr>
          <w:color w:val="000000"/>
          <w:vertAlign w:val="baseline"/>
        </w:rPr>
      </w:pPr>
      <w:r w:rsidDel="00000000" w:rsidR="00000000" w:rsidRPr="00000000">
        <w:rPr>
          <w:color w:val="000000"/>
          <w:vertAlign w:val="baseline"/>
          <w:rtl w:val="0"/>
        </w:rPr>
        <w:t xml:space="preserve">Warren, M. (2005). Communities and schools: A new view of urban education reform. Harvard Educational Review, 75(2), 133-173.</w:t>
      </w:r>
    </w:p>
    <w:p w:rsidR="00000000" w:rsidDel="00000000" w:rsidP="00000000" w:rsidRDefault="00000000" w:rsidRPr="00000000" w14:paraId="0000003F">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0">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1">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2">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3">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4">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5">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6">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7">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8">
      <w:pPr>
        <w:ind w:left="720" w:hanging="720"/>
        <w:contextualSpacing w:val="0"/>
        <w:rPr>
          <w:color w:val="000000"/>
          <w:vertAlign w:val="baseline"/>
        </w:rPr>
      </w:pPr>
      <w:r w:rsidDel="00000000" w:rsidR="00000000" w:rsidRPr="00000000">
        <w:rPr>
          <w:rtl w:val="0"/>
        </w:rPr>
      </w:r>
    </w:p>
    <w:p w:rsidR="00000000" w:rsidDel="00000000" w:rsidP="00000000" w:rsidRDefault="00000000" w:rsidRPr="00000000" w14:paraId="00000049">
      <w:pPr>
        <w:contextualSpacing w:val="0"/>
        <w:rPr>
          <w:highlight w:val="white"/>
        </w:rPr>
      </w:pPr>
      <w:r w:rsidDel="00000000" w:rsidR="00000000" w:rsidRPr="00000000">
        <w:rPr>
          <w:rtl w:val="0"/>
        </w:rPr>
      </w:r>
    </w:p>
    <w:p w:rsidR="00000000" w:rsidDel="00000000" w:rsidP="00000000" w:rsidRDefault="00000000" w:rsidRPr="00000000" w14:paraId="0000004A">
      <w:pPr>
        <w:contextualSpacing w:val="0"/>
        <w:rPr>
          <w:highlight w:val="white"/>
        </w:rPr>
      </w:pPr>
      <w:r w:rsidDel="00000000" w:rsidR="00000000" w:rsidRPr="00000000">
        <w:rPr>
          <w:rtl w:val="0"/>
        </w:rPr>
      </w:r>
    </w:p>
    <w:p w:rsidR="00000000" w:rsidDel="00000000" w:rsidP="00000000" w:rsidRDefault="00000000" w:rsidRPr="00000000" w14:paraId="0000004B">
      <w:pPr>
        <w:ind w:left="0" w:firstLine="0"/>
        <w:contextualSpacing w:val="0"/>
        <w:rPr>
          <w:highlight w:val="white"/>
        </w:rPr>
      </w:pPr>
      <w:r w:rsidDel="00000000" w:rsidR="00000000" w:rsidRPr="00000000">
        <w:rPr>
          <w:rtl w:val="0"/>
        </w:rPr>
      </w:r>
    </w:p>
    <w:p w:rsidR="00000000" w:rsidDel="00000000" w:rsidP="00000000" w:rsidRDefault="00000000" w:rsidRPr="00000000" w14:paraId="0000004C">
      <w:pPr>
        <w:ind w:left="1440" w:firstLine="0"/>
        <w:contextualSpacing w:val="0"/>
        <w:rPr>
          <w:highlight w:val="white"/>
        </w:rPr>
      </w:pPr>
      <w:r w:rsidDel="00000000" w:rsidR="00000000" w:rsidRPr="00000000">
        <w:rPr>
          <w:rtl w:val="0"/>
        </w:rPr>
      </w:r>
    </w:p>
    <w:p w:rsidR="00000000" w:rsidDel="00000000" w:rsidP="00000000" w:rsidRDefault="00000000" w:rsidRPr="00000000" w14:paraId="0000004D">
      <w:pPr>
        <w:ind w:left="1440" w:firstLine="0"/>
        <w:contextualSpacing w:val="0"/>
        <w:rPr>
          <w:highlight w:val="white"/>
        </w:rPr>
      </w:pPr>
      <w:r w:rsidDel="00000000" w:rsidR="00000000" w:rsidRPr="00000000">
        <w:rPr>
          <w:rtl w:val="0"/>
        </w:rPr>
      </w:r>
    </w:p>
    <w:p w:rsidR="00000000" w:rsidDel="00000000" w:rsidP="00000000" w:rsidRDefault="00000000" w:rsidRPr="00000000" w14:paraId="0000004E">
      <w:pPr>
        <w:ind w:left="1440" w:firstLine="0"/>
        <w:contextualSpacing w:val="0"/>
        <w:rPr>
          <w:highlight w:val="white"/>
        </w:rPr>
      </w:pPr>
      <w:r w:rsidDel="00000000" w:rsidR="00000000" w:rsidRPr="00000000">
        <w:rPr>
          <w:rtl w:val="0"/>
        </w:rPr>
      </w:r>
    </w:p>
    <w:p w:rsidR="00000000" w:rsidDel="00000000" w:rsidP="00000000" w:rsidRDefault="00000000" w:rsidRPr="00000000" w14:paraId="0000004F">
      <w:pPr>
        <w:ind w:left="1440" w:firstLine="0"/>
        <w:contextualSpacing w:val="0"/>
        <w:rPr>
          <w:highlight w:val="white"/>
        </w:rPr>
      </w:pPr>
      <w:r w:rsidDel="00000000" w:rsidR="00000000" w:rsidRPr="00000000">
        <w:rPr>
          <w:rtl w:val="0"/>
        </w:rPr>
      </w:r>
    </w:p>
    <w:p w:rsidR="00000000" w:rsidDel="00000000" w:rsidP="00000000" w:rsidRDefault="00000000" w:rsidRPr="00000000" w14:paraId="00000050">
      <w:pPr>
        <w:ind w:left="1440" w:firstLine="0"/>
        <w:contextualSpacing w:val="0"/>
        <w:rPr>
          <w:highlight w:val="white"/>
        </w:rPr>
      </w:pPr>
      <w:r w:rsidDel="00000000" w:rsidR="00000000" w:rsidRPr="00000000">
        <w:rPr>
          <w:rtl w:val="0"/>
        </w:rPr>
      </w:r>
    </w:p>
    <w:p w:rsidR="00000000" w:rsidDel="00000000" w:rsidP="00000000" w:rsidRDefault="00000000" w:rsidRPr="00000000" w14:paraId="00000051">
      <w:pPr>
        <w:ind w:left="1440" w:firstLine="0"/>
        <w:contextualSpacing w:val="0"/>
        <w:rPr>
          <w:highlight w:val="white"/>
        </w:rPr>
      </w:pPr>
      <w:r w:rsidDel="00000000" w:rsidR="00000000" w:rsidRPr="00000000">
        <w:rPr>
          <w:rtl w:val="0"/>
        </w:rPr>
      </w:r>
    </w:p>
    <w:p w:rsidR="00000000" w:rsidDel="00000000" w:rsidP="00000000" w:rsidRDefault="00000000" w:rsidRPr="00000000" w14:paraId="00000052">
      <w:pPr>
        <w:ind w:left="1440" w:firstLine="0"/>
        <w:contextualSpacing w:val="0"/>
        <w:rPr>
          <w:highlight w:val="white"/>
        </w:rPr>
      </w:pPr>
      <w:r w:rsidDel="00000000" w:rsidR="00000000" w:rsidRPr="00000000">
        <w:rPr>
          <w:rtl w:val="0"/>
        </w:rPr>
      </w:r>
    </w:p>
    <w:p w:rsidR="00000000" w:rsidDel="00000000" w:rsidP="00000000" w:rsidRDefault="00000000" w:rsidRPr="00000000" w14:paraId="00000053">
      <w:pPr>
        <w:ind w:left="1440" w:firstLine="0"/>
        <w:contextualSpacing w:val="0"/>
        <w:rPr>
          <w:highlight w:val="white"/>
        </w:rPr>
      </w:pPr>
      <w:r w:rsidDel="00000000" w:rsidR="00000000" w:rsidRPr="00000000">
        <w:rPr>
          <w:rtl w:val="0"/>
        </w:rPr>
      </w:r>
    </w:p>
    <w:p w:rsidR="00000000" w:rsidDel="00000000" w:rsidP="00000000" w:rsidRDefault="00000000" w:rsidRPr="00000000" w14:paraId="00000054">
      <w:pPr>
        <w:ind w:left="1440" w:firstLine="0"/>
        <w:contextualSpacing w:val="0"/>
        <w:rPr>
          <w:highlight w:val="white"/>
        </w:rPr>
      </w:pPr>
      <w:r w:rsidDel="00000000" w:rsidR="00000000" w:rsidRPr="00000000">
        <w:rPr>
          <w:rtl w:val="0"/>
        </w:rPr>
      </w:r>
    </w:p>
    <w:p w:rsidR="00000000" w:rsidDel="00000000" w:rsidP="00000000" w:rsidRDefault="00000000" w:rsidRPr="00000000" w14:paraId="00000055">
      <w:pPr>
        <w:ind w:left="1440" w:firstLine="0"/>
        <w:contextualSpacing w:val="0"/>
        <w:rPr>
          <w:highlight w:val="white"/>
        </w:rPr>
      </w:pPr>
      <w:r w:rsidDel="00000000" w:rsidR="00000000" w:rsidRPr="00000000">
        <w:rPr>
          <w:rtl w:val="0"/>
        </w:rPr>
      </w:r>
    </w:p>
    <w:p w:rsidR="00000000" w:rsidDel="00000000" w:rsidP="00000000" w:rsidRDefault="00000000" w:rsidRPr="00000000" w14:paraId="00000056">
      <w:pPr>
        <w:ind w:left="0" w:firstLine="0"/>
        <w:contextualSpacing w:val="0"/>
        <w:rPr>
          <w:highlight w:val="white"/>
        </w:rPr>
      </w:pPr>
      <w:r w:rsidDel="00000000" w:rsidR="00000000" w:rsidRPr="00000000">
        <w:rPr>
          <w:rtl w:val="0"/>
        </w:rPr>
      </w:r>
    </w:p>
    <w:p w:rsidR="00000000" w:rsidDel="00000000" w:rsidP="00000000" w:rsidRDefault="00000000" w:rsidRPr="00000000" w14:paraId="00000057">
      <w:pPr>
        <w:ind w:left="1440" w:firstLine="0"/>
        <w:contextualSpacing w:val="0"/>
        <w:rPr>
          <w:highlight w:val="white"/>
        </w:rPr>
      </w:pPr>
      <w:r w:rsidDel="00000000" w:rsidR="00000000" w:rsidRPr="00000000">
        <w:rPr>
          <w:rtl w:val="0"/>
        </w:rPr>
      </w:r>
    </w:p>
    <w:p w:rsidR="00000000" w:rsidDel="00000000" w:rsidP="00000000" w:rsidRDefault="00000000" w:rsidRPr="00000000" w14:paraId="00000058">
      <w:pPr>
        <w:ind w:left="1440" w:firstLine="0"/>
        <w:contextualSpacing w:val="0"/>
        <w:rPr>
          <w:highlight w:val="white"/>
        </w:rPr>
      </w:pPr>
      <w:r w:rsidDel="00000000" w:rsidR="00000000" w:rsidRPr="00000000">
        <w:rPr>
          <w:rtl w:val="0"/>
        </w:rPr>
      </w:r>
    </w:p>
    <w:p w:rsidR="00000000" w:rsidDel="00000000" w:rsidP="00000000" w:rsidRDefault="00000000" w:rsidRPr="00000000" w14:paraId="00000059">
      <w:pPr>
        <w:ind w:left="1440" w:firstLine="0"/>
        <w:contextualSpacing w:val="0"/>
        <w:rPr>
          <w:highlight w:val="white"/>
        </w:rPr>
      </w:pPr>
      <w:r w:rsidDel="00000000" w:rsidR="00000000" w:rsidRPr="00000000">
        <w:rPr>
          <w:rtl w:val="0"/>
        </w:rPr>
      </w:r>
    </w:p>
    <w:p w:rsidR="00000000" w:rsidDel="00000000" w:rsidP="00000000" w:rsidRDefault="00000000" w:rsidRPr="00000000" w14:paraId="0000005A">
      <w:pPr>
        <w:ind w:left="1440" w:firstLine="0"/>
        <w:contextualSpacing w:val="0"/>
        <w:rPr>
          <w:highlight w:val="white"/>
        </w:rPr>
      </w:pPr>
      <w:r w:rsidDel="00000000" w:rsidR="00000000" w:rsidRPr="00000000">
        <w:rPr>
          <w:rtl w:val="0"/>
        </w:rPr>
      </w:r>
    </w:p>
    <w:sectPr>
      <w:headerReference r:id="rId7" w:type="default"/>
      <w:headerReference r:id="rId8"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URBAN EDUCATION SYSTEM</w:t>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URBAN EDUCATION SYSTEM</w:t>
      <w:tab/>
      <w:tab/>
      <w:t xml:space="preserve">1</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480" w:lineRule="auto"/>
      <w:jc w:val="center"/>
    </w:pPr>
    <w:rPr>
      <w:rFonts w:ascii="Times New Roman" w:cs="Times New Roman" w:eastAsia="Times New Roman" w:hAnsi="Times New Roman"/>
      <w:b w:val="1"/>
      <w:sz w:val="24"/>
      <w:szCs w:val="24"/>
      <w:vertAlign w:val="baseline"/>
    </w:rPr>
  </w:style>
  <w:style w:type="paragraph" w:styleId="Heading2">
    <w:name w:val="heading 2"/>
    <w:basedOn w:val="Normal"/>
    <w:next w:val="Normal"/>
    <w:pPr>
      <w:keepNext w:val="1"/>
      <w:spacing w:after="0" w:line="480" w:lineRule="auto"/>
    </w:pPr>
    <w:rPr>
      <w:rFonts w:ascii="Times New Roman" w:cs="Times New Roman" w:eastAsia="Times New Roman" w:hAnsi="Times New Roman"/>
      <w:b w:val="1"/>
      <w:sz w:val="24"/>
      <w:szCs w:val="24"/>
      <w:vertAlign w:val="baseline"/>
    </w:rPr>
  </w:style>
  <w:style w:type="paragraph" w:styleId="Heading3">
    <w:name w:val="heading 3"/>
    <w:basedOn w:val="Normal"/>
    <w:next w:val="Normal"/>
    <w:pPr>
      <w:keepNext w:val="1"/>
      <w:spacing w:after="0" w:line="480" w:lineRule="auto"/>
      <w:ind w:firstLine="720"/>
    </w:pPr>
    <w:rPr>
      <w:rFonts w:ascii="Times New Roman" w:cs="Times New Roman" w:eastAsia="Times New Roman" w:hAnsi="Times New Roman"/>
      <w:b w:val="1"/>
      <w:sz w:val="24"/>
      <w:szCs w:val="24"/>
      <w:vertAlign w:val="baseline"/>
    </w:rPr>
  </w:style>
  <w:style w:type="paragraph" w:styleId="Heading4">
    <w:name w:val="heading 4"/>
    <w:basedOn w:val="Normal"/>
    <w:next w:val="Normal"/>
    <w:pPr>
      <w:keepNext w:val="1"/>
      <w:spacing w:after="60" w:before="240" w:line="480" w:lineRule="auto"/>
    </w:pPr>
    <w:rPr>
      <w:rFonts w:ascii="Calibri" w:cs="Calibri" w:eastAsia="Calibri" w:hAnsi="Calibri"/>
      <w:b w:val="1"/>
      <w:sz w:val="28"/>
      <w:szCs w:val="28"/>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line="480" w:lineRule="auto"/>
      <w:jc w:val="center"/>
    </w:pPr>
    <w:rPr>
      <w:rFonts w:ascii="Times New Roman" w:cs="Times New Roman" w:eastAsia="Times New Roman" w:hAnsi="Times New Roman"/>
      <w:sz w:val="24"/>
      <w:szCs w:val="24"/>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rcpress.com/Improving-Schools-Developing-Inclusion/Ainscow-Booth-Dyson/p/book/9780415372794"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